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sz w:val="24"/>
          <w:szCs w:val="24"/>
        </w:rPr>
      </w:pPr>
      <w:r w:rsidDel="00000000" w:rsidR="00000000" w:rsidRPr="00000000">
        <w:rPr>
          <w:rtl w:val="0"/>
        </w:rPr>
      </w:r>
    </w:p>
    <w:p w:rsidR="00000000" w:rsidDel="00000000" w:rsidP="00000000" w:rsidRDefault="00000000" w:rsidRPr="00000000" w14:paraId="00000002">
      <w:pPr>
        <w:jc w:val="center"/>
        <w:rPr>
          <w:sz w:val="24"/>
          <w:szCs w:val="24"/>
        </w:rPr>
      </w:pPr>
      <w:r w:rsidDel="00000000" w:rsidR="00000000" w:rsidRPr="00000000">
        <w:rPr>
          <w:rtl w:val="0"/>
        </w:rPr>
      </w:r>
    </w:p>
    <w:p w:rsidR="00000000" w:rsidDel="00000000" w:rsidP="00000000" w:rsidRDefault="00000000" w:rsidRPr="00000000" w14:paraId="00000003">
      <w:pPr>
        <w:jc w:val="left"/>
        <w:rPr>
          <w:sz w:val="24"/>
          <w:szCs w:val="24"/>
        </w:rPr>
      </w:pPr>
      <w:r w:rsidDel="00000000" w:rsidR="00000000" w:rsidRPr="00000000">
        <w:rPr>
          <w:rtl w:val="0"/>
        </w:rPr>
      </w:r>
    </w:p>
    <w:p w:rsidR="00000000" w:rsidDel="00000000" w:rsidP="00000000" w:rsidRDefault="00000000" w:rsidRPr="00000000" w14:paraId="00000004">
      <w:pPr>
        <w:jc w:val="center"/>
        <w:rPr>
          <w:sz w:val="24"/>
          <w:szCs w:val="24"/>
        </w:rPr>
      </w:pPr>
      <w:r w:rsidDel="00000000" w:rsidR="00000000" w:rsidRPr="00000000">
        <w:rPr>
          <w:rtl w:val="0"/>
        </w:rPr>
      </w:r>
    </w:p>
    <w:p w:rsidR="00000000" w:rsidDel="00000000" w:rsidP="00000000" w:rsidRDefault="00000000" w:rsidRPr="00000000" w14:paraId="00000005">
      <w:pPr>
        <w:jc w:val="center"/>
        <w:rPr>
          <w:sz w:val="24"/>
          <w:szCs w:val="24"/>
        </w:rPr>
      </w:pPr>
      <w:r w:rsidDel="00000000" w:rsidR="00000000" w:rsidRPr="00000000">
        <w:rPr>
          <w:rtl w:val="0"/>
        </w:rPr>
      </w:r>
    </w:p>
    <w:p w:rsidR="00000000" w:rsidDel="00000000" w:rsidP="00000000" w:rsidRDefault="00000000" w:rsidRPr="00000000" w14:paraId="00000006">
      <w:pPr>
        <w:jc w:val="center"/>
        <w:rPr>
          <w:sz w:val="24"/>
          <w:szCs w:val="24"/>
        </w:rPr>
      </w:pPr>
      <w:r w:rsidDel="00000000" w:rsidR="00000000" w:rsidRPr="00000000">
        <w:rPr>
          <w:rtl w:val="0"/>
        </w:rPr>
      </w:r>
    </w:p>
    <w:p w:rsidR="00000000" w:rsidDel="00000000" w:rsidP="00000000" w:rsidRDefault="00000000" w:rsidRPr="00000000" w14:paraId="00000007">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Project 1 Overview</w:t>
      </w:r>
    </w:p>
    <w:p w:rsidR="00000000" w:rsidDel="00000000" w:rsidP="00000000" w:rsidRDefault="00000000" w:rsidRPr="00000000" w14:paraId="00000010">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Nicholas Gurrieri</w:t>
      </w:r>
    </w:p>
    <w:p w:rsidR="00000000" w:rsidDel="00000000" w:rsidP="00000000" w:rsidRDefault="00000000" w:rsidRPr="00000000" w14:paraId="0000001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 625</w:t>
      </w:r>
    </w:p>
    <w:p w:rsidR="00000000" w:rsidDel="00000000" w:rsidP="00000000" w:rsidRDefault="00000000" w:rsidRPr="00000000" w14:paraId="0000001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Milhauser</w:t>
      </w:r>
    </w:p>
    <w:p w:rsidR="00000000" w:rsidDel="00000000" w:rsidP="00000000" w:rsidRDefault="00000000" w:rsidRPr="00000000" w14:paraId="00000013">
      <w:pPr>
        <w:jc w:val="cente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4">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5">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Part I: Project Overview</w:t>
      </w:r>
      <w:r w:rsidDel="00000000" w:rsidR="00000000" w:rsidRPr="00000000">
        <w:drawing>
          <wp:anchor allowOverlap="1" behindDoc="0" distB="114300" distT="114300" distL="114300" distR="114300" hidden="0" layoutInCell="1" locked="0" relativeHeight="0" simplePos="0">
            <wp:simplePos x="0" y="0"/>
            <wp:positionH relativeFrom="column">
              <wp:posOffset>1338263</wp:posOffset>
            </wp:positionH>
            <wp:positionV relativeFrom="paragraph">
              <wp:posOffset>200025</wp:posOffset>
            </wp:positionV>
            <wp:extent cx="3262313" cy="1873707"/>
            <wp:effectExtent b="0" l="0" r="0" t="0"/>
            <wp:wrapNone/>
            <wp:docPr id="2"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3262313" cy="1873707"/>
                    </a:xfrm>
                    <a:prstGeom prst="rect"/>
                    <a:ln/>
                  </pic:spPr>
                </pic:pic>
              </a:graphicData>
            </a:graphic>
          </wp:anchor>
        </w:drawing>
      </w:r>
    </w:p>
    <w:p w:rsidR="00000000" w:rsidDel="00000000" w:rsidP="00000000" w:rsidRDefault="00000000" w:rsidRPr="00000000" w14:paraId="00000016">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7">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8">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9">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A">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B">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C">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D">
      <w:pPr>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E">
      <w:pPr>
        <w:spacing w:line="480" w:lineRule="auto"/>
        <w:rPr>
          <w:rFonts w:ascii="Times New Roman" w:cs="Times New Roman" w:eastAsia="Times New Roman" w:hAnsi="Times New Roman"/>
          <w:b w:val="1"/>
          <w:sz w:val="24"/>
          <w:szCs w:val="24"/>
        </w:rPr>
      </w:pPr>
      <w:r w:rsidDel="00000000" w:rsidR="00000000" w:rsidRPr="00000000">
        <w:rPr>
          <w:rtl w:val="0"/>
        </w:rPr>
      </w:r>
    </w:p>
    <w:tbl>
      <w:tblPr>
        <w:tblStyle w:val="Table1"/>
        <w:tblW w:w="93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1F">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Topic of Focus</w:t>
            </w:r>
          </w:p>
        </w:tc>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20">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These projects and activities will focus on terrestrial ecosystems. </w:t>
            </w:r>
            <w:r w:rsidDel="00000000" w:rsidR="00000000" w:rsidRPr="00000000">
              <w:rPr>
                <w:rtl w:val="0"/>
              </w:rPr>
            </w:r>
          </w:p>
        </w:tc>
      </w:tr>
      <w:tr>
        <w:trPr>
          <w:cantSplit w:val="0"/>
          <w:tblHeader w:val="0"/>
        </w:trPr>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21">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Audience</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tc>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This project will be intended for students in grade 3. The learning goal will be aligned with Next Generation Science Standards for grade 3 students. </w:t>
            </w:r>
            <w:r w:rsidDel="00000000" w:rsidR="00000000" w:rsidRPr="00000000">
              <w:rPr>
                <w:rtl w:val="0"/>
              </w:rPr>
            </w:r>
          </w:p>
        </w:tc>
      </w:tr>
      <w:tr>
        <w:trPr>
          <w:cantSplit w:val="0"/>
          <w:tblHeader w:val="0"/>
        </w:trPr>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24">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Rationale</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mc:AlternateContent>
                <mc:Choice Requires="wpg">
                  <w:drawing>
                    <wp:inline distB="114300" distT="114300" distL="114300" distR="114300">
                      <wp:extent cx="2700338" cy="2171700"/>
                      <wp:effectExtent b="0" l="0" r="0" t="0"/>
                      <wp:docPr id="1" name=""/>
                      <a:graphic>
                        <a:graphicData uri="http://schemas.microsoft.com/office/word/2010/wordprocessingShape">
                          <wps:wsp>
                            <wps:cNvSpPr/>
                            <wps:cNvPr id="2" name="Shape 2"/>
                            <wps:spPr>
                              <a:xfrm>
                                <a:off x="1180150" y="1121150"/>
                                <a:ext cx="2409600" cy="2153700"/>
                              </a:xfrm>
                              <a:prstGeom prst="rect">
                                <a:avLst/>
                              </a:prstGeom>
                              <a:solidFill>
                                <a:srgbClr val="00FFFF"/>
                              </a:solidFill>
                              <a:ln cap="flat" cmpd="sng" w="38100">
                                <a:solidFill>
                                  <a:srgbClr val="FF99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000000"/>
                                      <w:sz w:val="24"/>
                                      <w:vertAlign w:val="baseline"/>
                                    </w:rPr>
                                    <w:t xml:space="preserve">Standards</w:t>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Third graders must be able to construct arguments that some animals form groups that help members survive, and also construct an argument with evidence that in certain habitats some animals can survive well, some survive less well, and some cannot survive at all (NGSS, 2013). </w:t>
                                  </w:r>
                                </w:p>
                              </w:txbxContent>
                            </wps:txbx>
                            <wps:bodyPr anchorCtr="0" anchor="ctr" bIns="91425" lIns="91425" spcFirstLastPara="1" rIns="91425" wrap="square" tIns="91425">
                              <a:noAutofit/>
                            </wps:bodyPr>
                          </wps:wsp>
                        </a:graphicData>
                      </a:graphic>
                    </wp:inline>
                  </w:drawing>
                </mc:Choice>
                <mc:Fallback>
                  <w:drawing>
                    <wp:inline distB="114300" distT="114300" distL="114300" distR="114300">
                      <wp:extent cx="2700338" cy="2171700"/>
                      <wp:effectExtent b="0" l="0" r="0" t="0"/>
                      <wp:docPr id="1"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2700338" cy="2171700"/>
                              </a:xfrm>
                              <a:prstGeom prst="rect"/>
                              <a:ln/>
                            </pic:spPr>
                          </pic:pic>
                        </a:graphicData>
                      </a:graphic>
                    </wp:inline>
                  </w:drawing>
                </mc:Fallback>
              </mc:AlternateContent>
            </w:r>
            <w:r w:rsidDel="00000000" w:rsidR="00000000" w:rsidRPr="00000000">
              <w:rPr>
                <w:rtl w:val="0"/>
              </w:rPr>
            </w:r>
          </w:p>
        </w:tc>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26">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The first activity for this set of projects that students will complete will be a mind-map that students need to create that showcases their understanding of the idea that certain organisms can survive in a particular ecosystem, while some other organisms cannot. The specific visual of a mind map makes sense, as it will make it easy to see the connections between the ecosystems and the organisms that inhabit them. Standard note-taking involves making a hierarchical list of information, whereas a mind map can differentiate between ideas and concepts with shapes, colors, and images (Petro Jr., 2010). Also, our brains are primed for visual learning (Nalder, 2009)</w:t>
            </w:r>
            <w:r w:rsidDel="00000000" w:rsidR="00000000" w:rsidRPr="00000000">
              <w:rPr>
                <w:rtl w:val="0"/>
              </w:rPr>
            </w:r>
          </w:p>
        </w:tc>
      </w:tr>
      <w:tr>
        <w:trPr>
          <w:cantSplit w:val="0"/>
          <w:tblHeader w:val="0"/>
        </w:trPr>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27">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Sub-topics</w:t>
            </w:r>
          </w:p>
        </w:tc>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28">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The sub-topics that will be covered in this project are related to the 4 types of terrestrial ecosystems. The 4 sub-topics related to terrestrial ecosystems are tundras, grasslands, forests, and deserts. These all relate to the overarching topic of ecosystems, and by the end of the project, the goal will be for students to be able to understand how the organisms that inhabit these ecosystems are suited for living in them.</w:t>
            </w:r>
            <w:r w:rsidDel="00000000" w:rsidR="00000000" w:rsidRPr="00000000">
              <w:rPr>
                <w:rtl w:val="0"/>
              </w:rPr>
            </w:r>
          </w:p>
        </w:tc>
      </w:tr>
    </w:tbl>
    <w:p w:rsidR="00000000" w:rsidDel="00000000" w:rsidP="00000000" w:rsidRDefault="00000000" w:rsidRPr="00000000" w14:paraId="00000029">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A">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line="480" w:lineRule="auto"/>
        <w:ind w:firstLine="72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C">
      <w:pPr>
        <w:spacing w:line="480" w:lineRule="auto"/>
        <w:jc w:val="center"/>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2D">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Part II: Content Module</w:t>
        <w:br w:type="textWrapping"/>
      </w:r>
      <w:r w:rsidDel="00000000" w:rsidR="00000000" w:rsidRPr="00000000">
        <w:drawing>
          <wp:anchor allowOverlap="1" behindDoc="0" distB="114300" distT="114300" distL="114300" distR="114300" hidden="0" layoutInCell="1" locked="0" relativeHeight="0" simplePos="0">
            <wp:simplePos x="0" y="0"/>
            <wp:positionH relativeFrom="column">
              <wp:posOffset>3057525</wp:posOffset>
            </wp:positionH>
            <wp:positionV relativeFrom="paragraph">
              <wp:posOffset>404813</wp:posOffset>
            </wp:positionV>
            <wp:extent cx="2807494" cy="1871663"/>
            <wp:effectExtent b="25400" l="25400" r="25400" t="25400"/>
            <wp:wrapNone/>
            <wp:docPr id="3"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2807494" cy="1871663"/>
                    </a:xfrm>
                    <a:prstGeom prst="rect"/>
                    <a:ln w="25400">
                      <a:solidFill>
                        <a:srgbClr val="FF9900"/>
                      </a:solidFill>
                      <a:prstDash val="dash"/>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164182</wp:posOffset>
            </wp:positionH>
            <wp:positionV relativeFrom="paragraph">
              <wp:posOffset>161925</wp:posOffset>
            </wp:positionV>
            <wp:extent cx="2836193" cy="2152650"/>
            <wp:effectExtent b="25400" l="25400" r="25400" t="25400"/>
            <wp:wrapNone/>
            <wp:docPr id="6" name="image6.png"/>
            <a:graphic>
              <a:graphicData uri="http://schemas.openxmlformats.org/drawingml/2006/picture">
                <pic:pic>
                  <pic:nvPicPr>
                    <pic:cNvPr id="0" name="image6.png"/>
                    <pic:cNvPicPr preferRelativeResize="0"/>
                  </pic:nvPicPr>
                  <pic:blipFill>
                    <a:blip r:embed="rId9"/>
                    <a:srcRect b="0" l="0" r="0" t="0"/>
                    <a:stretch>
                      <a:fillRect/>
                    </a:stretch>
                  </pic:blipFill>
                  <pic:spPr>
                    <a:xfrm>
                      <a:off x="0" y="0"/>
                      <a:ext cx="2836193" cy="2152650"/>
                    </a:xfrm>
                    <a:prstGeom prst="rect"/>
                    <a:ln w="25400">
                      <a:solidFill>
                        <a:srgbClr val="FF9900"/>
                      </a:solidFill>
                      <a:prstDash val="dash"/>
                    </a:ln>
                  </pic:spPr>
                </pic:pic>
              </a:graphicData>
            </a:graphic>
          </wp:anchor>
        </w:drawing>
      </w:r>
    </w:p>
    <w:p w:rsidR="00000000" w:rsidDel="00000000" w:rsidP="00000000" w:rsidRDefault="00000000" w:rsidRPr="00000000" w14:paraId="0000002E">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F">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0">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1">
      <w:pPr>
        <w:spacing w:line="480" w:lineRule="auto"/>
        <w:jc w:val="center"/>
        <w:rPr>
          <w:rFonts w:ascii="Times New Roman" w:cs="Times New Roman" w:eastAsia="Times New Roman" w:hAnsi="Times New Roman"/>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3009900</wp:posOffset>
            </wp:positionH>
            <wp:positionV relativeFrom="paragraph">
              <wp:posOffset>445740</wp:posOffset>
            </wp:positionV>
            <wp:extent cx="2757488" cy="1833906"/>
            <wp:effectExtent b="25400" l="25400" r="25400" t="25400"/>
            <wp:wrapNone/>
            <wp:docPr id="7" name="image7.png"/>
            <a:graphic>
              <a:graphicData uri="http://schemas.openxmlformats.org/drawingml/2006/picture">
                <pic:pic>
                  <pic:nvPicPr>
                    <pic:cNvPr id="0" name="image7.png"/>
                    <pic:cNvPicPr preferRelativeResize="0"/>
                  </pic:nvPicPr>
                  <pic:blipFill>
                    <a:blip r:embed="rId10"/>
                    <a:srcRect b="0" l="0" r="0" t="0"/>
                    <a:stretch>
                      <a:fillRect/>
                    </a:stretch>
                  </pic:blipFill>
                  <pic:spPr>
                    <a:xfrm>
                      <a:off x="0" y="0"/>
                      <a:ext cx="2757488" cy="1833906"/>
                    </a:xfrm>
                    <a:prstGeom prst="rect"/>
                    <a:ln w="25400">
                      <a:solidFill>
                        <a:srgbClr val="FF9900"/>
                      </a:solidFill>
                      <a:prstDash val="dash"/>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447675</wp:posOffset>
            </wp:positionH>
            <wp:positionV relativeFrom="paragraph">
              <wp:posOffset>238125</wp:posOffset>
            </wp:positionV>
            <wp:extent cx="2819400" cy="1888629"/>
            <wp:effectExtent b="25400" l="25400" r="25400" t="25400"/>
            <wp:wrapNone/>
            <wp:docPr id="5"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2819400" cy="1888629"/>
                    </a:xfrm>
                    <a:prstGeom prst="rect"/>
                    <a:ln w="25400">
                      <a:solidFill>
                        <a:srgbClr val="FF9900"/>
                      </a:solidFill>
                      <a:prstDash val="dash"/>
                    </a:ln>
                  </pic:spPr>
                </pic:pic>
              </a:graphicData>
            </a:graphic>
          </wp:anchor>
        </w:drawing>
      </w:r>
    </w:p>
    <w:p w:rsidR="00000000" w:rsidDel="00000000" w:rsidP="00000000" w:rsidRDefault="00000000" w:rsidRPr="00000000" w14:paraId="00000032">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3">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4">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spacing w:line="480" w:lineRule="auto"/>
        <w:rPr>
          <w:rFonts w:ascii="Times New Roman" w:cs="Times New Roman" w:eastAsia="Times New Roman" w:hAnsi="Times New Roman"/>
          <w:sz w:val="24"/>
          <w:szCs w:val="24"/>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tcBorders>
              <w:top w:color="ff9900" w:space="0" w:sz="36" w:val="single"/>
              <w:left w:color="ff9900" w:space="0" w:sz="36" w:val="single"/>
              <w:bottom w:color="ff9900" w:space="0" w:sz="36" w:val="single"/>
              <w:right w:color="ff9900" w:space="0" w:sz="36" w:val="single"/>
            </w:tcBorders>
            <w:shd w:fill="auto" w:val="clear"/>
            <w:tcMar>
              <w:top w:w="100.0" w:type="dxa"/>
              <w:left w:w="100.0" w:type="dxa"/>
              <w:bottom w:w="100.0" w:type="dxa"/>
              <w:right w:w="100.0" w:type="dxa"/>
            </w:tcMar>
            <w:vAlign w:val="top"/>
          </w:tcPr>
          <w:p w:rsidR="00000000" w:rsidDel="00000000" w:rsidP="00000000" w:rsidRDefault="00000000" w:rsidRPr="00000000" w14:paraId="00000038">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Sub-topic 1 Outline</w:t>
            </w:r>
            <w:r w:rsidDel="00000000" w:rsidR="00000000" w:rsidRPr="00000000">
              <w:rPr>
                <w:rtl w:val="0"/>
              </w:rPr>
            </w:r>
          </w:p>
        </w:tc>
        <w:tc>
          <w:tcPr>
            <w:tcBorders>
              <w:top w:color="ff9900" w:space="0" w:sz="36" w:val="single"/>
              <w:left w:color="ff9900" w:space="0" w:sz="36" w:val="single"/>
              <w:bottom w:color="ff9900" w:space="0" w:sz="36" w:val="single"/>
              <w:right w:color="ff9900" w:space="0" w:sz="36" w:val="single"/>
            </w:tcBorders>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first sub-topics that this project will focus on are forest ecosystems. The mind map assignment supports the learning of this sub-topic because there are so many subcategories that the wildlife and plants within the ecosystem can </w:t>
            </w:r>
          </w:p>
        </w:tc>
      </w:tr>
      <w:tr>
        <w:trPr>
          <w:cantSplit w:val="0"/>
          <w:tblHeader w:val="0"/>
        </w:trPr>
        <w:tc>
          <w:tcPr>
            <w:tcBorders>
              <w:top w:color="ff9900" w:space="0" w:sz="36" w:val="single"/>
              <w:left w:color="ff9900" w:space="0" w:sz="36" w:val="single"/>
              <w:bottom w:color="ff9900" w:space="0" w:sz="36" w:val="single"/>
              <w:right w:color="ff9900" w:space="0" w:sz="36" w:val="single"/>
            </w:tcBorders>
            <w:shd w:fill="auto" w:val="clear"/>
            <w:tcMar>
              <w:top w:w="100.0" w:type="dxa"/>
              <w:left w:w="100.0" w:type="dxa"/>
              <w:bottom w:w="100.0" w:type="dxa"/>
              <w:right w:w="100.0" w:type="dxa"/>
            </w:tcMar>
            <w:vAlign w:val="top"/>
          </w:tcPr>
          <w:p w:rsidR="00000000" w:rsidDel="00000000" w:rsidP="00000000" w:rsidRDefault="00000000" w:rsidRPr="00000000" w14:paraId="0000003A">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Objectives</w:t>
            </w:r>
            <w:r w:rsidDel="00000000" w:rsidR="00000000" w:rsidRPr="00000000">
              <w:rPr>
                <w:rtl w:val="0"/>
              </w:rPr>
            </w:r>
          </w:p>
        </w:tc>
        <w:tc>
          <w:tcPr>
            <w:tcBorders>
              <w:top w:color="ff9900" w:space="0" w:sz="36" w:val="single"/>
              <w:left w:color="ff9900" w:space="0" w:sz="36" w:val="single"/>
              <w:bottom w:color="ff9900" w:space="0" w:sz="36" w:val="single"/>
              <w:right w:color="ff9900" w:space="0" w:sz="36" w:val="single"/>
            </w:tcBorders>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will be able to create a model displaying the different characteristics of each ecosystem.</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will be able to display the organisms that exist in certain environments</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will be able to provide an explanation about why those specific organisms live in those ecosystems.</w:t>
            </w:r>
          </w:p>
        </w:tc>
      </w:tr>
      <w:tr>
        <w:trPr>
          <w:cantSplit w:val="0"/>
          <w:tblHeader w:val="0"/>
        </w:trPr>
        <w:tc>
          <w:tcPr>
            <w:tcBorders>
              <w:top w:color="ff9900" w:space="0" w:sz="36" w:val="single"/>
              <w:left w:color="ff9900" w:space="0" w:sz="36" w:val="single"/>
              <w:bottom w:color="ff9900" w:space="0" w:sz="36" w:val="single"/>
              <w:right w:color="ff9900" w:space="0" w:sz="36" w:val="single"/>
            </w:tcBorders>
            <w:shd w:fill="auto" w:val="clear"/>
            <w:tcMar>
              <w:top w:w="100.0" w:type="dxa"/>
              <w:left w:w="100.0" w:type="dxa"/>
              <w:bottom w:w="100.0" w:type="dxa"/>
              <w:right w:w="100.0" w:type="dxa"/>
            </w:tcMar>
            <w:vAlign w:val="top"/>
          </w:tcPr>
          <w:p w:rsidR="00000000" w:rsidDel="00000000" w:rsidP="00000000" w:rsidRDefault="00000000" w:rsidRPr="00000000" w14:paraId="00000040">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Instructions</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ff9900" w:space="0" w:sz="36" w:val="single"/>
              <w:left w:color="ff9900" w:space="0" w:sz="36" w:val="single"/>
              <w:bottom w:color="ff9900" w:space="0" w:sz="36" w:val="single"/>
              <w:right w:color="ff9900" w:space="0" w:sz="36" w:val="single"/>
            </w:tcBorders>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Using </w:t>
            </w:r>
            <w:hyperlink r:id="rId12">
              <w:r w:rsidDel="00000000" w:rsidR="00000000" w:rsidRPr="00000000">
                <w:rPr>
                  <w:rFonts w:ascii="Times New Roman" w:cs="Times New Roman" w:eastAsia="Times New Roman" w:hAnsi="Times New Roman"/>
                  <w:color w:val="1155cc"/>
                  <w:sz w:val="24"/>
                  <w:szCs w:val="24"/>
                  <w:u w:val="single"/>
                  <w:rtl w:val="0"/>
                </w:rPr>
                <w:t xml:space="preserve">kiddle.co</w:t>
              </w:r>
            </w:hyperlink>
            <w:r w:rsidDel="00000000" w:rsidR="00000000" w:rsidRPr="00000000">
              <w:rPr>
                <w:rFonts w:ascii="Times New Roman" w:cs="Times New Roman" w:eastAsia="Times New Roman" w:hAnsi="Times New Roman"/>
                <w:sz w:val="24"/>
                <w:szCs w:val="24"/>
                <w:rtl w:val="0"/>
              </w:rPr>
              <w:t xml:space="preserve"> as a resource and the mind-mapping tool </w:t>
            </w:r>
            <w:hyperlink r:id="rId13">
              <w:r w:rsidDel="00000000" w:rsidR="00000000" w:rsidRPr="00000000">
                <w:rPr>
                  <w:rFonts w:ascii="Times New Roman" w:cs="Times New Roman" w:eastAsia="Times New Roman" w:hAnsi="Times New Roman"/>
                  <w:color w:val="1155cc"/>
                  <w:sz w:val="24"/>
                  <w:szCs w:val="24"/>
                  <w:u w:val="single"/>
                  <w:rtl w:val="0"/>
                </w:rPr>
                <w:t xml:space="preserve">Bubbl.us</w:t>
              </w:r>
            </w:hyperlink>
            <w:r w:rsidDel="00000000" w:rsidR="00000000" w:rsidRPr="00000000">
              <w:rPr>
                <w:rFonts w:ascii="Times New Roman" w:cs="Times New Roman" w:eastAsia="Times New Roman" w:hAnsi="Times New Roman"/>
                <w:sz w:val="24"/>
                <w:szCs w:val="24"/>
                <w:rtl w:val="0"/>
              </w:rPr>
              <w:t xml:space="preserve">, create a mind-map that displays the differences between the different types of forest ecosystems.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Use </w:t>
            </w:r>
            <w:hyperlink r:id="rId14">
              <w:r w:rsidDel="00000000" w:rsidR="00000000" w:rsidRPr="00000000">
                <w:rPr>
                  <w:rFonts w:ascii="Times New Roman" w:cs="Times New Roman" w:eastAsia="Times New Roman" w:hAnsi="Times New Roman"/>
                  <w:color w:val="1155cc"/>
                  <w:sz w:val="24"/>
                  <w:szCs w:val="24"/>
                  <w:u w:val="single"/>
                  <w:rtl w:val="0"/>
                </w:rPr>
                <w:t xml:space="preserve">kiddle.co</w:t>
              </w:r>
            </w:hyperlink>
            <w:r w:rsidDel="00000000" w:rsidR="00000000" w:rsidRPr="00000000">
              <w:rPr>
                <w:rFonts w:ascii="Times New Roman" w:cs="Times New Roman" w:eastAsia="Times New Roman" w:hAnsi="Times New Roman"/>
                <w:sz w:val="24"/>
                <w:szCs w:val="24"/>
                <w:rtl w:val="0"/>
              </w:rPr>
              <w:t xml:space="preserve"> to research the different types of forest ecosystems</w:t>
            </w:r>
          </w:p>
          <w:p w:rsidR="00000000" w:rsidDel="00000000" w:rsidP="00000000" w:rsidRDefault="00000000" w:rsidRPr="00000000" w14:paraId="0000004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Individually research each forest ecosystem and use the graphic organizer to take notes on the climate, animals, and plants of that type of forest ecosystem. </w:t>
            </w:r>
          </w:p>
          <w:p w:rsidR="00000000" w:rsidDel="00000000" w:rsidP="00000000" w:rsidRDefault="00000000" w:rsidRPr="00000000" w14:paraId="0000004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Use </w:t>
            </w:r>
            <w:hyperlink r:id="rId15">
              <w:r w:rsidDel="00000000" w:rsidR="00000000" w:rsidRPr="00000000">
                <w:rPr>
                  <w:rFonts w:ascii="Times New Roman" w:cs="Times New Roman" w:eastAsia="Times New Roman" w:hAnsi="Times New Roman"/>
                  <w:color w:val="1155cc"/>
                  <w:sz w:val="24"/>
                  <w:szCs w:val="24"/>
                  <w:u w:val="single"/>
                  <w:rtl w:val="0"/>
                </w:rPr>
                <w:t xml:space="preserve">Bubbl.us</w:t>
              </w:r>
            </w:hyperlink>
            <w:r w:rsidDel="00000000" w:rsidR="00000000" w:rsidRPr="00000000">
              <w:rPr>
                <w:rFonts w:ascii="Times New Roman" w:cs="Times New Roman" w:eastAsia="Times New Roman" w:hAnsi="Times New Roman"/>
                <w:sz w:val="24"/>
                <w:szCs w:val="24"/>
                <w:rtl w:val="0"/>
              </w:rPr>
              <w:t xml:space="preserve"> to create a mind-map displaying your findings. The mind-map should clearly display the differences in the climate, animals, and plants that live in that ecosystem Here are the requirements of the mind-map:</w:t>
            </w:r>
          </w:p>
          <w:p w:rsidR="00000000" w:rsidDel="00000000" w:rsidP="00000000" w:rsidRDefault="00000000" w:rsidRPr="00000000" w14:paraId="00000047">
            <w:pPr>
              <w:widowControl w:val="0"/>
              <w:numPr>
                <w:ilvl w:val="1"/>
                <w:numId w:val="1"/>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Identify the type of climate</w:t>
            </w:r>
          </w:p>
          <w:p w:rsidR="00000000" w:rsidDel="00000000" w:rsidP="00000000" w:rsidRDefault="00000000" w:rsidRPr="00000000" w14:paraId="00000048">
            <w:pPr>
              <w:widowControl w:val="0"/>
              <w:numPr>
                <w:ilvl w:val="1"/>
                <w:numId w:val="1"/>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Describe the climate in terms of temperature and humidity</w:t>
            </w:r>
          </w:p>
          <w:p w:rsidR="00000000" w:rsidDel="00000000" w:rsidP="00000000" w:rsidRDefault="00000000" w:rsidRPr="00000000" w14:paraId="00000049">
            <w:pPr>
              <w:widowControl w:val="0"/>
              <w:numPr>
                <w:ilvl w:val="1"/>
                <w:numId w:val="1"/>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Display at least 3 different mammals, insects, and birds that live in each forest.</w:t>
            </w:r>
          </w:p>
          <w:p w:rsidR="00000000" w:rsidDel="00000000" w:rsidP="00000000" w:rsidRDefault="00000000" w:rsidRPr="00000000" w14:paraId="0000004A">
            <w:pPr>
              <w:widowControl w:val="0"/>
              <w:numPr>
                <w:ilvl w:val="1"/>
                <w:numId w:val="1"/>
              </w:numPr>
              <w:spacing w:line="24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Display at least  3 different plants that live in each forest.</w:t>
            </w:r>
          </w:p>
          <w:p w:rsidR="00000000" w:rsidDel="00000000" w:rsidP="00000000" w:rsidRDefault="00000000" w:rsidRPr="00000000" w14:paraId="0000004B">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Provide a written response with a claim, evidence, and reasoning to support why one of the plants and animals lives in its specific forest.</w:t>
            </w:r>
            <w:r w:rsidDel="00000000" w:rsidR="00000000" w:rsidRPr="00000000">
              <w:rPr>
                <w:rtl w:val="0"/>
              </w:rPr>
            </w:r>
          </w:p>
        </w:tc>
      </w:tr>
    </w:tbl>
    <w:p w:rsidR="00000000" w:rsidDel="00000000" w:rsidP="00000000" w:rsidRDefault="00000000" w:rsidRPr="00000000" w14:paraId="0000004C">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Activity</w:t>
      </w:r>
    </w:p>
    <w:p w:rsidR="00000000" w:rsidDel="00000000" w:rsidP="00000000" w:rsidRDefault="00000000" w:rsidRPr="00000000" w14:paraId="0000004D">
      <w:pPr>
        <w:spacing w:line="480" w:lineRule="auto"/>
        <w:rPr>
          <w:rFonts w:ascii="Times New Roman" w:cs="Times New Roman" w:eastAsia="Times New Roman" w:hAnsi="Times New Roman"/>
          <w:sz w:val="24"/>
          <w:szCs w:val="24"/>
        </w:rPr>
      </w:pPr>
      <w:hyperlink r:id="rId16">
        <w:r w:rsidDel="00000000" w:rsidR="00000000" w:rsidRPr="00000000">
          <w:rPr>
            <w:rFonts w:ascii="Times New Roman" w:cs="Times New Roman" w:eastAsia="Times New Roman" w:hAnsi="Times New Roman"/>
            <w:color w:val="1155cc"/>
            <w:sz w:val="24"/>
            <w:szCs w:val="24"/>
            <w:u w:val="single"/>
            <w:rtl w:val="0"/>
          </w:rPr>
          <w:t xml:space="preserve">Sample Mind Map</w:t>
        </w:r>
      </w:hyperlink>
      <w:r w:rsidDel="00000000" w:rsidR="00000000" w:rsidRPr="00000000">
        <w:rPr>
          <w:rtl w:val="0"/>
        </w:rPr>
      </w:r>
    </w:p>
    <w:p w:rsidR="00000000" w:rsidDel="00000000" w:rsidP="00000000" w:rsidRDefault="00000000" w:rsidRPr="00000000" w14:paraId="0000004E">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424488" cy="1990725"/>
            <wp:effectExtent b="0" l="0" r="0" t="0"/>
            <wp:docPr id="4" name="image1.png"/>
            <a:graphic>
              <a:graphicData uri="http://schemas.openxmlformats.org/drawingml/2006/picture">
                <pic:pic>
                  <pic:nvPicPr>
                    <pic:cNvPr id="0" name="image1.png"/>
                    <pic:cNvPicPr preferRelativeResize="0"/>
                  </pic:nvPicPr>
                  <pic:blipFill>
                    <a:blip r:embed="rId17"/>
                    <a:srcRect b="0" l="0" r="0" t="0"/>
                    <a:stretch>
                      <a:fillRect/>
                    </a:stretch>
                  </pic:blipFill>
                  <pic:spPr>
                    <a:xfrm>
                      <a:off x="0" y="0"/>
                      <a:ext cx="5424488" cy="1990725"/>
                    </a:xfrm>
                    <a:prstGeom prst="rect"/>
                    <a:ln/>
                  </pic:spPr>
                </pic:pic>
              </a:graphicData>
            </a:graphic>
          </wp:inline>
        </w:drawing>
      </w:r>
      <w:r w:rsidDel="00000000" w:rsidR="00000000" w:rsidRPr="00000000">
        <w:rPr>
          <w:rtl w:val="0"/>
        </w:rPr>
      </w:r>
    </w:p>
    <w:p w:rsidR="00000000" w:rsidDel="00000000" w:rsidP="00000000" w:rsidRDefault="00000000" w:rsidRPr="00000000" w14:paraId="0000004F">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See a more-viewer friendly version of this activity using the link above.</w:t>
      </w:r>
    </w:p>
    <w:p w:rsidR="00000000" w:rsidDel="00000000" w:rsidP="00000000" w:rsidRDefault="00000000" w:rsidRPr="00000000" w14:paraId="00000050">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References</w:t>
      </w:r>
      <w:r w:rsidDel="00000000" w:rsidR="00000000" w:rsidRPr="00000000">
        <w:rPr>
          <w:rtl w:val="0"/>
        </w:rPr>
      </w:r>
    </w:p>
    <w:p w:rsidR="00000000" w:rsidDel="00000000" w:rsidP="00000000" w:rsidRDefault="00000000" w:rsidRPr="00000000" w14:paraId="00000051">
      <w:pPr>
        <w:spacing w:line="480" w:lineRule="auto"/>
        <w:ind w:left="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Next Generation Science Standards. (2013). </w:t>
      </w:r>
      <w:r w:rsidDel="00000000" w:rsidR="00000000" w:rsidRPr="00000000">
        <w:rPr>
          <w:rFonts w:ascii="Times New Roman" w:cs="Times New Roman" w:eastAsia="Times New Roman" w:hAnsi="Times New Roman"/>
          <w:i w:val="1"/>
          <w:sz w:val="24"/>
          <w:szCs w:val="24"/>
          <w:rtl w:val="0"/>
        </w:rPr>
        <w:t xml:space="preserve">3-LS4-4 Biological Evolution: Unity and Diversity | </w:t>
      </w:r>
    </w:p>
    <w:p w:rsidR="00000000" w:rsidDel="00000000" w:rsidP="00000000" w:rsidRDefault="00000000" w:rsidRPr="00000000" w14:paraId="00000052">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Next Generation Science Standards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3">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hyperlink r:id="rId18">
        <w:r w:rsidDel="00000000" w:rsidR="00000000" w:rsidRPr="00000000">
          <w:rPr>
            <w:rFonts w:ascii="Times New Roman" w:cs="Times New Roman" w:eastAsia="Times New Roman" w:hAnsi="Times New Roman"/>
            <w:sz w:val="24"/>
            <w:szCs w:val="24"/>
            <w:u w:val="single"/>
            <w:rtl w:val="0"/>
          </w:rPr>
          <w:t xml:space="preserve">https://www.nextgenscience.org/pe/3-ls4-4-biological-evolution-unity-and-diversity</w:t>
        </w:r>
      </w:hyperlink>
      <w:r w:rsidDel="00000000" w:rsidR="00000000" w:rsidRPr="00000000">
        <w:rPr>
          <w:rtl w:val="0"/>
        </w:rPr>
      </w:r>
    </w:p>
    <w:p w:rsidR="00000000" w:rsidDel="00000000" w:rsidP="00000000" w:rsidRDefault="00000000" w:rsidRPr="00000000" w14:paraId="00000054">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Petro Jr., N. J. (2010). </w:t>
      </w:r>
      <w:hyperlink r:id="rId19">
        <w:r w:rsidDel="00000000" w:rsidR="00000000" w:rsidRPr="00000000">
          <w:rPr>
            <w:rFonts w:ascii="Times New Roman" w:cs="Times New Roman" w:eastAsia="Times New Roman" w:hAnsi="Times New Roman"/>
            <w:sz w:val="24"/>
            <w:szCs w:val="24"/>
            <w:u w:val="single"/>
            <w:rtl w:val="0"/>
          </w:rPr>
          <w:t xml:space="preserve">Hate taking notes? Try mind mapping</w:t>
        </w:r>
      </w:hyperlink>
      <w:r w:rsidDel="00000000" w:rsidR="00000000" w:rsidRPr="00000000">
        <w:rPr>
          <w:rFonts w:ascii="Times New Roman" w:cs="Times New Roman" w:eastAsia="Times New Roman" w:hAnsi="Times New Roman"/>
          <w:sz w:val="24"/>
          <w:szCs w:val="24"/>
          <w:rtl w:val="0"/>
        </w:rPr>
        <w:t xml:space="preserve">. Gpsolo, 27(4), 20-23.</w:t>
      </w:r>
    </w:p>
    <w:p w:rsidR="00000000" w:rsidDel="00000000" w:rsidP="00000000" w:rsidRDefault="00000000" w:rsidRPr="00000000" w14:paraId="00000056">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7">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Nalder, J. (2009). </w:t>
      </w:r>
      <w:hyperlink r:id="rId20">
        <w:r w:rsidDel="00000000" w:rsidR="00000000" w:rsidRPr="00000000">
          <w:rPr>
            <w:rFonts w:ascii="Times New Roman" w:cs="Times New Roman" w:eastAsia="Times New Roman" w:hAnsi="Times New Roman"/>
            <w:sz w:val="24"/>
            <w:szCs w:val="24"/>
            <w:u w:val="single"/>
            <w:rtl w:val="0"/>
          </w:rPr>
          <w:t xml:space="preserve">Digital mind-mapping and visual organizers. A journey into new digital </w:t>
        </w:r>
      </w:hyperlink>
      <w:r w:rsidDel="00000000" w:rsidR="00000000" w:rsidRPr="00000000">
        <w:rPr>
          <w:rtl w:val="0"/>
        </w:rPr>
      </w:r>
    </w:p>
    <w:p w:rsidR="00000000" w:rsidDel="00000000" w:rsidP="00000000" w:rsidRDefault="00000000" w:rsidRPr="00000000" w14:paraId="00000058">
      <w:pPr>
        <w:spacing w:line="480" w:lineRule="auto"/>
        <w:ind w:left="720" w:firstLine="0"/>
        <w:rPr>
          <w:rFonts w:ascii="Times New Roman" w:cs="Times New Roman" w:eastAsia="Times New Roman" w:hAnsi="Times New Roman"/>
          <w:sz w:val="24"/>
          <w:szCs w:val="24"/>
        </w:rPr>
      </w:pPr>
      <w:hyperlink r:id="rId21">
        <w:r w:rsidDel="00000000" w:rsidR="00000000" w:rsidRPr="00000000">
          <w:rPr>
            <w:rFonts w:ascii="Times New Roman" w:cs="Times New Roman" w:eastAsia="Times New Roman" w:hAnsi="Times New Roman"/>
            <w:sz w:val="24"/>
            <w:szCs w:val="24"/>
            <w:u w:val="single"/>
            <w:rtl w:val="0"/>
          </w:rPr>
          <w:t xml:space="preserve">learning possibilities</w:t>
        </w:r>
      </w:hyperlink>
      <w:r w:rsidDel="00000000" w:rsidR="00000000" w:rsidRPr="00000000">
        <w:rPr>
          <w:rFonts w:ascii="Times New Roman" w:cs="Times New Roman" w:eastAsia="Times New Roman" w:hAnsi="Times New Roman"/>
          <w:sz w:val="24"/>
          <w:szCs w:val="24"/>
          <w:rtl w:val="0"/>
        </w:rPr>
        <w:t xml:space="preserve">. Primary &amp; Middle Years Educator, 7(1), 7-11.</w:t>
      </w:r>
    </w:p>
    <w:p w:rsidR="00000000" w:rsidDel="00000000" w:rsidP="00000000" w:rsidRDefault="00000000" w:rsidRPr="00000000" w14:paraId="00000059">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jc w:val="center"/>
        <w:rPr>
          <w:rFonts w:ascii="Times New Roman" w:cs="Times New Roman" w:eastAsia="Times New Roman" w:hAnsi="Times New Roman"/>
          <w:b w:val="1"/>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postu.idm.oclc.org/login?auth=prodbb&amp;url=http://search.ebscohost.com/login.aspx?direct=true&amp;db=a9h&amp;AN=40520389&amp;authtype=cookie,cpid&amp;custid=ns017336&amp;site=ehost-live&amp;scope=site" TargetMode="External"/><Relationship Id="rId11" Type="http://schemas.openxmlformats.org/officeDocument/2006/relationships/image" Target="media/image5.png"/><Relationship Id="rId10" Type="http://schemas.openxmlformats.org/officeDocument/2006/relationships/image" Target="media/image7.png"/><Relationship Id="rId21" Type="http://schemas.openxmlformats.org/officeDocument/2006/relationships/hyperlink" Target="https://postu.idm.oclc.org/login?auth=prodbb&amp;url=http://search.ebscohost.com/login.aspx?direct=true&amp;db=a9h&amp;AN=40520389&amp;authtype=cookie,cpid&amp;custid=ns017336&amp;site=ehost-live&amp;scope=site" TargetMode="External"/><Relationship Id="rId13" Type="http://schemas.openxmlformats.org/officeDocument/2006/relationships/hyperlink" Target="https://bubbl.us/" TargetMode="External"/><Relationship Id="rId12" Type="http://schemas.openxmlformats.org/officeDocument/2006/relationships/hyperlink" Target="http://kiddle.co"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15" Type="http://schemas.openxmlformats.org/officeDocument/2006/relationships/hyperlink" Target="https://bubbl.us/" TargetMode="External"/><Relationship Id="rId14" Type="http://schemas.openxmlformats.org/officeDocument/2006/relationships/hyperlink" Target="http://kiddle.co" TargetMode="External"/><Relationship Id="rId17" Type="http://schemas.openxmlformats.org/officeDocument/2006/relationships/image" Target="media/image1.png"/><Relationship Id="rId16" Type="http://schemas.openxmlformats.org/officeDocument/2006/relationships/hyperlink" Target="http://go.bubbl.us/c84685/c3e1?/Terrestrial-Ecosystems" TargetMode="External"/><Relationship Id="rId5" Type="http://schemas.openxmlformats.org/officeDocument/2006/relationships/styles" Target="styles.xml"/><Relationship Id="rId19" Type="http://schemas.openxmlformats.org/officeDocument/2006/relationships/hyperlink" Target="https://postu.idm.oclc.org/login?auth=prodbb&amp;url=http://search.ebscohost.com/login.aspx?direct=true&amp;db=a9h&amp;AN=52290773&amp;authtype=cookie,cpid&amp;custid=ns017336&amp;site=ehost-live&amp;scope=site" TargetMode="External"/><Relationship Id="rId6" Type="http://schemas.openxmlformats.org/officeDocument/2006/relationships/image" Target="media/image3.png"/><Relationship Id="rId18" Type="http://schemas.openxmlformats.org/officeDocument/2006/relationships/hyperlink" Target="https://www.nextgenscience.org/pe/3-ls4-4-biological-evolution-unity-and-diversity" TargetMode="External"/><Relationship Id="rId7" Type="http://schemas.openxmlformats.org/officeDocument/2006/relationships/image" Target="media/image2.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